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494B1" w14:textId="18792849" w:rsidR="008F1006" w:rsidRDefault="00DF3142" w:rsidP="005A2C88">
      <w:pPr>
        <w:rPr>
          <w:rFonts w:ascii="Lucida Sans" w:hAnsi="Lucida Sans" w:cstheme="minorHAnsi"/>
          <w:color w:val="212529"/>
          <w:shd w:val="clear" w:color="auto" w:fill="FFFFFF"/>
        </w:rPr>
      </w:pPr>
      <w:r>
        <w:rPr>
          <w:rFonts w:ascii="Lucida Sans" w:hAnsi="Lucida Sans" w:cstheme="minorHAnsi"/>
          <w:color w:val="212529"/>
          <w:shd w:val="clear" w:color="auto" w:fill="FFFFFF"/>
        </w:rPr>
        <w:t xml:space="preserve">Florida Statutes </w:t>
      </w:r>
      <w:r w:rsidR="008F1006">
        <w:rPr>
          <w:rFonts w:ascii="Lucida Sans" w:hAnsi="Lucida Sans" w:cstheme="minorHAnsi"/>
          <w:color w:val="212529"/>
          <w:shd w:val="clear" w:color="auto" w:fill="FFFFFF"/>
        </w:rPr>
        <w:t>720.306</w:t>
      </w:r>
      <w:r w:rsidR="00D87A98">
        <w:rPr>
          <w:rFonts w:ascii="Lucida Sans" w:hAnsi="Lucida Sans" w:cstheme="minorHAnsi"/>
          <w:color w:val="212529"/>
          <w:shd w:val="clear" w:color="auto" w:fill="FFFFFF"/>
        </w:rPr>
        <w:t xml:space="preserve"> </w:t>
      </w:r>
      <w:r w:rsidR="000124D8">
        <w:rPr>
          <w:rFonts w:ascii="Lucida Sans" w:hAnsi="Lucida Sans" w:cstheme="minorHAnsi"/>
          <w:color w:val="212529"/>
          <w:shd w:val="clear" w:color="auto" w:fill="FFFFFF"/>
        </w:rPr>
        <w:t>(</w:t>
      </w:r>
      <w:r w:rsidR="00D87A98">
        <w:rPr>
          <w:rFonts w:ascii="Lucida Sans" w:hAnsi="Lucida Sans" w:cstheme="minorHAnsi"/>
          <w:color w:val="212529"/>
          <w:shd w:val="clear" w:color="auto" w:fill="FFFFFF"/>
        </w:rPr>
        <w:t>Grandfatheri</w:t>
      </w:r>
      <w:r w:rsidR="000124D8">
        <w:rPr>
          <w:rFonts w:ascii="Lucida Sans" w:hAnsi="Lucida Sans" w:cstheme="minorHAnsi"/>
          <w:color w:val="212529"/>
          <w:shd w:val="clear" w:color="auto" w:fill="FFFFFF"/>
        </w:rPr>
        <w:t xml:space="preserve">ng on Lease Restriction </w:t>
      </w:r>
      <w:r w:rsidR="007316AE">
        <w:rPr>
          <w:rFonts w:ascii="Lucida Sans" w:hAnsi="Lucida Sans" w:cstheme="minorHAnsi"/>
          <w:color w:val="212529"/>
          <w:shd w:val="clear" w:color="auto" w:fill="FFFFFF"/>
        </w:rPr>
        <w:t>Governing Documents or Amendments)</w:t>
      </w:r>
    </w:p>
    <w:p w14:paraId="75A97E7D" w14:textId="77777777" w:rsidR="008F1006" w:rsidRDefault="008F1006" w:rsidP="005A2C88">
      <w:pPr>
        <w:rPr>
          <w:rFonts w:ascii="Lucida Sans" w:hAnsi="Lucida Sans" w:cstheme="minorHAnsi"/>
          <w:color w:val="212529"/>
          <w:shd w:val="clear" w:color="auto" w:fill="FFFFFF"/>
        </w:rPr>
      </w:pPr>
    </w:p>
    <w:p w14:paraId="6F61CFC2" w14:textId="77777777" w:rsidR="00BD618A" w:rsidRDefault="005A2C88" w:rsidP="005A2C88">
      <w:pPr>
        <w:rPr>
          <w:rFonts w:ascii="Lucida Sans" w:hAnsi="Lucida Sans" w:cstheme="minorHAnsi"/>
          <w:i/>
          <w:iCs/>
          <w:color w:val="212529"/>
          <w:shd w:val="clear" w:color="auto" w:fill="FFFFFF"/>
        </w:rPr>
      </w:pPr>
      <w:r w:rsidRPr="00A262E8">
        <w:rPr>
          <w:rFonts w:ascii="Lucida Sans" w:hAnsi="Lucida Sans" w:cstheme="minorHAnsi"/>
          <w:color w:val="212529"/>
          <w:shd w:val="clear" w:color="auto" w:fill="FFFFFF"/>
        </w:rPr>
        <w:t xml:space="preserve">Effective July 1, 2021, a declaration or other governing document of a homeowners’ association that has more than 15 parcel owners, or an amendment to a declaration or other governing document of such a homeowners’ association, that contains a prohibition or regulation as to rental agreements, </w:t>
      </w:r>
      <w:r w:rsidRPr="00A262E8">
        <w:rPr>
          <w:rFonts w:ascii="Lucida Sans" w:hAnsi="Lucida Sans" w:cstheme="minorHAnsi"/>
          <w:i/>
          <w:iCs/>
          <w:color w:val="212529"/>
          <w:shd w:val="clear" w:color="auto" w:fill="FFFFFF"/>
        </w:rPr>
        <w:t>“</w:t>
      </w:r>
      <w:r w:rsidRPr="00A262E8">
        <w:rPr>
          <w:rStyle w:val="Emphasis"/>
          <w:rFonts w:ascii="Lucida Sans" w:hAnsi="Lucida Sans" w:cstheme="minorHAnsi"/>
          <w:i w:val="0"/>
          <w:iCs w:val="0"/>
          <w:color w:val="212529"/>
          <w:highlight w:val="yellow"/>
          <w:shd w:val="clear" w:color="auto" w:fill="FFFFFF"/>
        </w:rPr>
        <w:t>applies only to a parcel owner who acquires title to the parcel after the effective date of the governing document or amendment, or to a parcel owner who consents, individually or through a representative, to the governing document or amendment</w:t>
      </w:r>
      <w:r w:rsidRPr="00A262E8">
        <w:rPr>
          <w:rFonts w:ascii="Lucida Sans" w:hAnsi="Lucida Sans" w:cstheme="minorHAnsi"/>
          <w:i/>
          <w:iCs/>
          <w:color w:val="212529"/>
          <w:highlight w:val="yellow"/>
          <w:shd w:val="clear" w:color="auto" w:fill="FFFFFF"/>
        </w:rPr>
        <w:t>”.</w:t>
      </w:r>
      <w:r w:rsidRPr="00A262E8">
        <w:rPr>
          <w:rFonts w:ascii="Lucida Sans" w:hAnsi="Lucida Sans" w:cstheme="minorHAnsi"/>
          <w:i/>
          <w:iCs/>
          <w:color w:val="212529"/>
          <w:shd w:val="clear" w:color="auto" w:fill="FFFFFF"/>
        </w:rPr>
        <w:t xml:space="preserve">  </w:t>
      </w:r>
    </w:p>
    <w:p w14:paraId="50EE0AA6" w14:textId="77777777" w:rsidR="00BD618A" w:rsidRDefault="00BD618A" w:rsidP="005A2C88">
      <w:pPr>
        <w:rPr>
          <w:rFonts w:ascii="Lucida Sans" w:hAnsi="Lucida Sans" w:cstheme="minorHAnsi"/>
          <w:i/>
          <w:iCs/>
          <w:color w:val="212529"/>
          <w:shd w:val="clear" w:color="auto" w:fill="FFFFFF"/>
        </w:rPr>
      </w:pPr>
    </w:p>
    <w:p w14:paraId="72E2D3C2" w14:textId="166C39B1" w:rsidR="005A2C88" w:rsidRPr="00A262E8" w:rsidRDefault="005A2C88" w:rsidP="005A2C88">
      <w:pPr>
        <w:rPr>
          <w:rFonts w:ascii="Lucida Sans" w:hAnsi="Lucida Sans" w:cstheme="minorHAnsi"/>
          <w:color w:val="212529"/>
          <w:shd w:val="clear" w:color="auto" w:fill="FFFFFF"/>
        </w:rPr>
      </w:pPr>
      <w:r w:rsidRPr="00A262E8">
        <w:rPr>
          <w:rFonts w:ascii="Lucida Sans" w:hAnsi="Lucida Sans" w:cstheme="minorHAnsi"/>
          <w:i/>
          <w:iCs/>
          <w:color w:val="212529"/>
          <w:shd w:val="clear" w:color="auto" w:fill="FFFFFF"/>
        </w:rPr>
        <w:t>This new statutory provision will be reflected in a new subsection “(h)”, to be added to Section 720.306</w:t>
      </w:r>
      <w:r w:rsidRPr="00A262E8">
        <w:rPr>
          <w:rFonts w:ascii="Lucida Sans" w:hAnsi="Lucida Sans" w:cstheme="minorHAnsi"/>
          <w:color w:val="212529"/>
          <w:shd w:val="clear" w:color="auto" w:fill="FFFFFF"/>
        </w:rPr>
        <w:t xml:space="preserve"> of the Florida Statutes. </w:t>
      </w:r>
    </w:p>
    <w:p w14:paraId="02E2A12F" w14:textId="77777777" w:rsidR="005A2C88" w:rsidRPr="00A262E8" w:rsidRDefault="005A2C88" w:rsidP="005A2C88">
      <w:pPr>
        <w:rPr>
          <w:rFonts w:ascii="Lucida Sans" w:hAnsi="Lucida Sans" w:cstheme="minorHAnsi"/>
          <w:color w:val="212529"/>
          <w:shd w:val="clear" w:color="auto" w:fill="FFFFFF"/>
        </w:rPr>
      </w:pPr>
    </w:p>
    <w:p w14:paraId="4B4E3B40" w14:textId="77777777" w:rsidR="005A2C88" w:rsidRPr="00A262E8" w:rsidRDefault="005A2C88" w:rsidP="005A2C88">
      <w:pPr>
        <w:pStyle w:val="NormalWeb"/>
        <w:shd w:val="clear" w:color="auto" w:fill="FFFFFF"/>
        <w:spacing w:before="0" w:beforeAutospacing="0"/>
        <w:rPr>
          <w:rFonts w:ascii="Lucida Sans" w:hAnsi="Lucida Sans"/>
          <w:color w:val="212529"/>
        </w:rPr>
      </w:pPr>
      <w:r w:rsidRPr="00A262E8">
        <w:rPr>
          <w:rFonts w:ascii="Lucida Sans" w:hAnsi="Lucida Sans"/>
          <w:color w:val="212529"/>
          <w:highlight w:val="yellow"/>
        </w:rPr>
        <w:t>The new section “(h)” added to Section 720.306 of the Florida Statutes will also clarify that a rental prohibition or regulation that does not apply to a current title holder (because that owner did not consent to the amendment)</w:t>
      </w:r>
      <w:r w:rsidRPr="00A262E8">
        <w:rPr>
          <w:rFonts w:ascii="Lucida Sans" w:hAnsi="Lucida Sans"/>
          <w:color w:val="212529"/>
        </w:rPr>
        <w:t xml:space="preserve"> </w:t>
      </w:r>
      <w:r w:rsidRPr="00A262E8">
        <w:rPr>
          <w:rFonts w:ascii="Lucida Sans" w:hAnsi="Lucida Sans"/>
          <w:color w:val="212529"/>
          <w:highlight w:val="yellow"/>
        </w:rPr>
        <w:t>also will not apply to a subsequent title holder following certain “ownership changes”.</w:t>
      </w:r>
      <w:r w:rsidRPr="00A262E8">
        <w:rPr>
          <w:rFonts w:ascii="Lucida Sans" w:hAnsi="Lucida Sans"/>
          <w:color w:val="212529"/>
        </w:rPr>
        <w:t xml:space="preserve"> In particular, the rental prohibition or regulation will not apply to an heir who acquires the title </w:t>
      </w:r>
      <w:proofErr w:type="gramStart"/>
      <w:r w:rsidRPr="00A262E8">
        <w:rPr>
          <w:rFonts w:ascii="Lucida Sans" w:hAnsi="Lucida Sans"/>
          <w:color w:val="212529"/>
        </w:rPr>
        <w:t>as a result of</w:t>
      </w:r>
      <w:proofErr w:type="gramEnd"/>
      <w:r w:rsidRPr="00A262E8">
        <w:rPr>
          <w:rFonts w:ascii="Lucida Sans" w:hAnsi="Lucida Sans"/>
          <w:color w:val="212529"/>
        </w:rPr>
        <w:t xml:space="preserve"> the prior owner’s death or where title is transferred from the prior owner to an entity affiliated with a prior owner. Instead, the prohibition or regulation will only apply once the heir or affiliated entity transfers title to another party.</w:t>
      </w:r>
    </w:p>
    <w:p w14:paraId="66F64492" w14:textId="77777777" w:rsidR="00BC1316" w:rsidRPr="00A262E8" w:rsidRDefault="00BC1316">
      <w:pPr>
        <w:rPr>
          <w:rFonts w:ascii="Lucida Sans" w:hAnsi="Lucida Sans"/>
        </w:rPr>
      </w:pPr>
    </w:p>
    <w:sectPr w:rsidR="00BC1316" w:rsidRPr="00A26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C88"/>
    <w:rsid w:val="000124D8"/>
    <w:rsid w:val="000E0F16"/>
    <w:rsid w:val="0028578C"/>
    <w:rsid w:val="005A2C88"/>
    <w:rsid w:val="00666362"/>
    <w:rsid w:val="007316AE"/>
    <w:rsid w:val="007F5C78"/>
    <w:rsid w:val="008F1006"/>
    <w:rsid w:val="00A262E8"/>
    <w:rsid w:val="00B538DA"/>
    <w:rsid w:val="00BC1316"/>
    <w:rsid w:val="00BD618A"/>
    <w:rsid w:val="00D87A98"/>
    <w:rsid w:val="00DB1CFE"/>
    <w:rsid w:val="00D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99C8B"/>
  <w15:chartTrackingRefBased/>
  <w15:docId w15:val="{8E19C95C-D675-4696-9495-F91D7899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C88"/>
  </w:style>
  <w:style w:type="paragraph" w:styleId="Heading1">
    <w:name w:val="heading 1"/>
    <w:basedOn w:val="Normal"/>
    <w:next w:val="Normal"/>
    <w:link w:val="Heading1Char"/>
    <w:uiPriority w:val="9"/>
    <w:qFormat/>
    <w:rsid w:val="005A2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C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C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C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C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C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C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C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C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C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2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2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2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2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2C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2C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2C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C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2C88"/>
    <w:rPr>
      <w:b/>
      <w:bCs/>
      <w:smallCaps/>
      <w:color w:val="2F5496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5A2C8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A2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Branch</dc:creator>
  <cp:keywords/>
  <dc:description/>
  <cp:lastModifiedBy>Janet Branch</cp:lastModifiedBy>
  <cp:revision>9</cp:revision>
  <dcterms:created xsi:type="dcterms:W3CDTF">2024-06-02T18:20:00Z</dcterms:created>
  <dcterms:modified xsi:type="dcterms:W3CDTF">2024-06-02T18:34:00Z</dcterms:modified>
</cp:coreProperties>
</file>